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724523" w14:textId="672DF835" w:rsidR="0021663E" w:rsidRDefault="0021663E" w:rsidP="007A6941">
      <w:pPr>
        <w:rPr>
          <w:color w:val="FF0000"/>
        </w:rPr>
      </w:pPr>
    </w:p>
    <w:tbl>
      <w:tblPr>
        <w:tblStyle w:val="TableGrid"/>
        <w:tblW w:w="14400" w:type="dxa"/>
        <w:tblInd w:w="468" w:type="dxa"/>
        <w:tblLook w:val="04A0" w:firstRow="1" w:lastRow="0" w:firstColumn="1" w:lastColumn="0" w:noHBand="0" w:noVBand="1"/>
      </w:tblPr>
      <w:tblGrid>
        <w:gridCol w:w="4410"/>
        <w:gridCol w:w="9990"/>
      </w:tblGrid>
      <w:tr w:rsidR="0021663E" w:rsidRPr="003C48D4" w14:paraId="46795C3D" w14:textId="77777777" w:rsidTr="004017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9BA5F99" w14:textId="3395887C" w:rsidR="0021663E" w:rsidRPr="003C48D4" w:rsidRDefault="0021663E" w:rsidP="004017AE">
            <w:pPr>
              <w:rPr>
                <w:sz w:val="18"/>
                <w:szCs w:val="18"/>
              </w:rPr>
            </w:pPr>
            <w:r>
              <w:rPr>
                <w:color w:val="FF0000"/>
              </w:rPr>
              <w:br w:type="page"/>
            </w: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2DF260D3" w14:textId="77777777" w:rsidR="0021663E" w:rsidRPr="00E65556" w:rsidRDefault="0021663E" w:rsidP="004017AE">
            <w:pPr>
              <w:ind w:right="432"/>
              <w:rPr>
                <w:sz w:val="18"/>
                <w:szCs w:val="18"/>
              </w:rPr>
            </w:pPr>
            <w:r w:rsidRPr="00E65556">
              <w:rPr>
                <w:sz w:val="18"/>
                <w:szCs w:val="18"/>
              </w:rPr>
              <w:t xml:space="preserve">J.P. Morgan AG </w:t>
            </w:r>
            <w:r>
              <w:rPr>
                <w:sz w:val="18"/>
                <w:szCs w:val="18"/>
              </w:rPr>
              <w:t>(</w:t>
            </w:r>
            <w:r w:rsidRPr="00E65556">
              <w:rPr>
                <w:sz w:val="18"/>
                <w:szCs w:val="18"/>
              </w:rPr>
              <w:t>549300ZK53CNGEEI6A29</w:t>
            </w:r>
            <w:r>
              <w:rPr>
                <w:sz w:val="18"/>
                <w:szCs w:val="18"/>
              </w:rPr>
              <w:t>)</w:t>
            </w:r>
            <w:r w:rsidRPr="00E65556">
              <w:rPr>
                <w:sz w:val="18"/>
                <w:szCs w:val="18"/>
              </w:rPr>
              <w:t xml:space="preserve"> </w:t>
            </w:r>
          </w:p>
        </w:tc>
      </w:tr>
      <w:tr w:rsidR="0021663E" w:rsidRPr="003C48D4" w14:paraId="00701034" w14:textId="77777777" w:rsidTr="004017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38D464FB" w14:textId="77777777" w:rsidR="0021663E" w:rsidRPr="003C48D4" w:rsidRDefault="0021663E" w:rsidP="004017AE">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4732BC56" w14:textId="77777777" w:rsidR="0021663E" w:rsidRPr="003C48D4" w:rsidRDefault="0021663E" w:rsidP="004017AE">
            <w:pPr>
              <w:rPr>
                <w:color w:val="0000FF"/>
                <w:sz w:val="18"/>
                <w:szCs w:val="18"/>
              </w:rPr>
            </w:pPr>
            <w:r>
              <w:rPr>
                <w:sz w:val="18"/>
                <w:szCs w:val="18"/>
                <w:lang w:val="en-US"/>
              </w:rPr>
              <w:t xml:space="preserve">Other instruments </w:t>
            </w:r>
          </w:p>
        </w:tc>
      </w:tr>
      <w:tr w:rsidR="0021663E" w:rsidRPr="003C48D4" w14:paraId="004C7AFB" w14:textId="77777777" w:rsidTr="004017AE">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662A5003" w14:textId="77777777" w:rsidR="0021663E" w:rsidRPr="003C48D4" w:rsidRDefault="0021663E" w:rsidP="004017AE">
            <w:pPr>
              <w:jc w:val="center"/>
              <w:rPr>
                <w:sz w:val="18"/>
                <w:szCs w:val="18"/>
              </w:rPr>
            </w:pPr>
            <w:r w:rsidRPr="003C48D4">
              <w:rPr>
                <w:sz w:val="18"/>
                <w:szCs w:val="18"/>
              </w:rPr>
              <w:t>Summary of Analysis</w:t>
            </w:r>
          </w:p>
        </w:tc>
      </w:tr>
      <w:tr w:rsidR="0021663E" w:rsidRPr="003C48D4" w14:paraId="2BFAE41D" w14:textId="77777777" w:rsidTr="004017AE">
        <w:tc>
          <w:tcPr>
            <w:tcW w:w="14400" w:type="dxa"/>
            <w:gridSpan w:val="2"/>
            <w:tcBorders>
              <w:left w:val="single" w:sz="12" w:space="0" w:color="auto"/>
              <w:right w:val="single" w:sz="12" w:space="0" w:color="auto"/>
            </w:tcBorders>
          </w:tcPr>
          <w:p w14:paraId="11169FBE" w14:textId="6C41C702" w:rsidR="0021663E" w:rsidRPr="0021663E" w:rsidRDefault="0021663E" w:rsidP="004017AE">
            <w:pPr>
              <w:rPr>
                <w:color w:val="1F497D" w:themeColor="text2"/>
                <w:sz w:val="18"/>
                <w:szCs w:val="18"/>
              </w:rPr>
            </w:pPr>
            <w:r w:rsidRPr="0021663E">
              <w:rPr>
                <w:sz w:val="18"/>
                <w:szCs w:val="18"/>
              </w:rPr>
              <w:t>Within our fund order routing services product offering, currently an execution will arise on client instructions to subscribe for, or redeem, units in certain funds. In the year 2018, our review found the obligation of Best Execution was met in each case.  The application was monitored by J.P. Morgan AG o</w:t>
            </w:r>
            <w:r w:rsidR="009770AA">
              <w:rPr>
                <w:sz w:val="18"/>
                <w:szCs w:val="18"/>
              </w:rPr>
              <w:t xml:space="preserve">n a regular basis, through post </w:t>
            </w:r>
            <w:r w:rsidRPr="0021663E">
              <w:rPr>
                <w:sz w:val="18"/>
                <w:szCs w:val="18"/>
              </w:rPr>
              <w:t xml:space="preserve">trade controls performed by the business which were monitored at the </w:t>
            </w:r>
            <w:r w:rsidR="00D0398D" w:rsidRPr="00D0398D">
              <w:rPr>
                <w:sz w:val="18"/>
                <w:szCs w:val="18"/>
              </w:rPr>
              <w:t>relevant Securities Services Control forum</w:t>
            </w:r>
            <w:r w:rsidRPr="0021663E">
              <w:rPr>
                <w:sz w:val="18"/>
                <w:szCs w:val="18"/>
              </w:rPr>
              <w:t xml:space="preserve">. This monitoring identified execution situations which are potentially subject to Best Execution and also monitored the correct application of the decision making process. </w:t>
            </w:r>
          </w:p>
        </w:tc>
      </w:tr>
      <w:tr w:rsidR="0021663E" w:rsidRPr="003C48D4" w14:paraId="479ED2C8" w14:textId="77777777" w:rsidTr="004017AE">
        <w:tc>
          <w:tcPr>
            <w:tcW w:w="4410" w:type="dxa"/>
            <w:tcBorders>
              <w:left w:val="single" w:sz="12" w:space="0" w:color="auto"/>
            </w:tcBorders>
            <w:shd w:val="clear" w:color="auto" w:fill="D9D9D9" w:themeFill="background1" w:themeFillShade="D9"/>
          </w:tcPr>
          <w:p w14:paraId="530DF532" w14:textId="77777777" w:rsidR="0021663E" w:rsidRPr="005241CA" w:rsidRDefault="0021663E" w:rsidP="004017AE">
            <w:pPr>
              <w:rPr>
                <w:sz w:val="18"/>
                <w:szCs w:val="18"/>
              </w:rPr>
            </w:pPr>
            <w:r w:rsidRPr="005241CA">
              <w:rPr>
                <w:sz w:val="18"/>
                <w:szCs w:val="18"/>
              </w:rPr>
              <w:t>Relative importance given to execution factors &amp; other considerations</w:t>
            </w:r>
          </w:p>
        </w:tc>
        <w:tc>
          <w:tcPr>
            <w:tcW w:w="9990" w:type="dxa"/>
            <w:tcBorders>
              <w:right w:val="single" w:sz="12" w:space="0" w:color="auto"/>
            </w:tcBorders>
          </w:tcPr>
          <w:p w14:paraId="59846836" w14:textId="45CFDFE8" w:rsidR="0021663E" w:rsidRPr="0021663E" w:rsidRDefault="0021663E" w:rsidP="00F85A46">
            <w:pPr>
              <w:spacing w:after="120"/>
              <w:jc w:val="both"/>
              <w:rPr>
                <w:sz w:val="18"/>
                <w:szCs w:val="18"/>
              </w:rPr>
            </w:pPr>
            <w:r w:rsidRPr="0021663E">
              <w:rPr>
                <w:sz w:val="18"/>
                <w:szCs w:val="18"/>
              </w:rPr>
              <w:t xml:space="preserve"> For information on the importance given to execution factors please see </w:t>
            </w:r>
            <w:hyperlink r:id="rId10" w:history="1">
              <w:r w:rsidRPr="00DF4038">
                <w:rPr>
                  <w:rStyle w:val="Hyperlink"/>
                  <w:sz w:val="18"/>
                  <w:szCs w:val="18"/>
                </w:rPr>
                <w:t>J.P. Morgan EMEA Securities Services: Execution Policy</w:t>
              </w:r>
            </w:hyperlink>
            <w:r w:rsidRPr="0021663E">
              <w:rPr>
                <w:sz w:val="18"/>
                <w:szCs w:val="18"/>
              </w:rPr>
              <w:t xml:space="preserve">.  </w:t>
            </w:r>
          </w:p>
        </w:tc>
      </w:tr>
      <w:tr w:rsidR="0021663E" w:rsidRPr="003C48D4" w14:paraId="6F5B276B" w14:textId="77777777" w:rsidTr="004017AE">
        <w:trPr>
          <w:trHeight w:val="485"/>
        </w:trPr>
        <w:tc>
          <w:tcPr>
            <w:tcW w:w="4410" w:type="dxa"/>
            <w:tcBorders>
              <w:left w:val="single" w:sz="12" w:space="0" w:color="auto"/>
            </w:tcBorders>
            <w:shd w:val="clear" w:color="auto" w:fill="D9D9D9" w:themeFill="background1" w:themeFillShade="D9"/>
          </w:tcPr>
          <w:p w14:paraId="33092377" w14:textId="77777777" w:rsidR="0021663E" w:rsidRPr="005241CA" w:rsidRDefault="0021663E" w:rsidP="004017AE">
            <w:pPr>
              <w:rPr>
                <w:sz w:val="18"/>
                <w:szCs w:val="18"/>
              </w:rPr>
            </w:pPr>
            <w:r w:rsidRPr="005241CA">
              <w:rPr>
                <w:sz w:val="18"/>
                <w:szCs w:val="18"/>
              </w:rPr>
              <w:t>Execution venue close links / conflicts of interest / common ownerships</w:t>
            </w:r>
          </w:p>
        </w:tc>
        <w:tc>
          <w:tcPr>
            <w:tcW w:w="9990" w:type="dxa"/>
            <w:tcBorders>
              <w:right w:val="single" w:sz="12" w:space="0" w:color="auto"/>
            </w:tcBorders>
          </w:tcPr>
          <w:p w14:paraId="00A259C9" w14:textId="77777777" w:rsidR="0021663E" w:rsidRPr="0021663E" w:rsidRDefault="0021663E" w:rsidP="004017AE">
            <w:pPr>
              <w:rPr>
                <w:sz w:val="18"/>
                <w:szCs w:val="18"/>
              </w:rPr>
            </w:pPr>
            <w:r w:rsidRPr="0021663E">
              <w:rPr>
                <w:sz w:val="18"/>
                <w:szCs w:val="18"/>
              </w:rPr>
              <w:t>Please note that some of the investment vehicles the Bank makes available may include investment funds of J.P. Morgan and its affiliates.</w:t>
            </w:r>
          </w:p>
        </w:tc>
      </w:tr>
      <w:tr w:rsidR="0021663E" w:rsidRPr="003C48D4" w14:paraId="39EE74D5" w14:textId="77777777" w:rsidTr="004017AE">
        <w:tc>
          <w:tcPr>
            <w:tcW w:w="4410" w:type="dxa"/>
            <w:tcBorders>
              <w:left w:val="single" w:sz="12" w:space="0" w:color="auto"/>
            </w:tcBorders>
            <w:shd w:val="clear" w:color="auto" w:fill="D9D9D9" w:themeFill="background1" w:themeFillShade="D9"/>
          </w:tcPr>
          <w:p w14:paraId="170424F1" w14:textId="77777777" w:rsidR="0021663E" w:rsidRPr="005241CA" w:rsidRDefault="0021663E" w:rsidP="004017AE">
            <w:pPr>
              <w:rPr>
                <w:sz w:val="18"/>
                <w:szCs w:val="18"/>
              </w:rPr>
            </w:pPr>
            <w:r w:rsidRPr="005241CA">
              <w:rPr>
                <w:sz w:val="18"/>
                <w:szCs w:val="18"/>
              </w:rPr>
              <w:t>Specific execution venue arrangements</w:t>
            </w:r>
          </w:p>
        </w:tc>
        <w:tc>
          <w:tcPr>
            <w:tcW w:w="9990" w:type="dxa"/>
            <w:tcBorders>
              <w:right w:val="single" w:sz="12" w:space="0" w:color="auto"/>
            </w:tcBorders>
          </w:tcPr>
          <w:p w14:paraId="1509F451" w14:textId="77777777" w:rsidR="0021663E" w:rsidRPr="0021663E" w:rsidRDefault="0021663E" w:rsidP="004017AE">
            <w:pPr>
              <w:rPr>
                <w:i/>
                <w:sz w:val="18"/>
                <w:szCs w:val="18"/>
              </w:rPr>
            </w:pPr>
            <w:r w:rsidRPr="0021663E">
              <w:rPr>
                <w:sz w:val="18"/>
                <w:szCs w:val="18"/>
              </w:rPr>
              <w:t xml:space="preserve">Not Applicable </w:t>
            </w:r>
          </w:p>
        </w:tc>
      </w:tr>
      <w:tr w:rsidR="0021663E" w:rsidRPr="003C48D4" w14:paraId="5D19B9B0" w14:textId="77777777" w:rsidTr="004017AE">
        <w:trPr>
          <w:trHeight w:val="368"/>
        </w:trPr>
        <w:tc>
          <w:tcPr>
            <w:tcW w:w="4410" w:type="dxa"/>
            <w:tcBorders>
              <w:left w:val="single" w:sz="12" w:space="0" w:color="auto"/>
            </w:tcBorders>
            <w:shd w:val="clear" w:color="auto" w:fill="D9D9D9" w:themeFill="background1" w:themeFillShade="D9"/>
          </w:tcPr>
          <w:p w14:paraId="0C04EC12" w14:textId="77777777" w:rsidR="0021663E" w:rsidRPr="005241CA" w:rsidRDefault="0021663E" w:rsidP="004017AE">
            <w:pPr>
              <w:rPr>
                <w:sz w:val="18"/>
                <w:szCs w:val="18"/>
              </w:rPr>
            </w:pPr>
            <w:r w:rsidRPr="005241CA">
              <w:rPr>
                <w:sz w:val="18"/>
                <w:szCs w:val="18"/>
              </w:rPr>
              <w:t>Changes to execution venues</w:t>
            </w:r>
          </w:p>
        </w:tc>
        <w:tc>
          <w:tcPr>
            <w:tcW w:w="9990" w:type="dxa"/>
            <w:tcBorders>
              <w:right w:val="single" w:sz="12" w:space="0" w:color="auto"/>
            </w:tcBorders>
          </w:tcPr>
          <w:p w14:paraId="33E1161A" w14:textId="77777777" w:rsidR="0021663E" w:rsidRPr="0021663E" w:rsidRDefault="0021663E" w:rsidP="004017AE">
            <w:pPr>
              <w:spacing w:after="120"/>
              <w:rPr>
                <w:i/>
                <w:sz w:val="18"/>
                <w:szCs w:val="18"/>
              </w:rPr>
            </w:pPr>
            <w:r w:rsidRPr="0021663E">
              <w:rPr>
                <w:sz w:val="18"/>
                <w:szCs w:val="18"/>
              </w:rPr>
              <w:t>Not Applicable</w:t>
            </w:r>
          </w:p>
        </w:tc>
      </w:tr>
      <w:tr w:rsidR="0021663E" w:rsidRPr="003C48D4" w14:paraId="146AEC4C" w14:textId="77777777" w:rsidTr="004017AE">
        <w:tc>
          <w:tcPr>
            <w:tcW w:w="4410" w:type="dxa"/>
            <w:tcBorders>
              <w:left w:val="single" w:sz="12" w:space="0" w:color="auto"/>
            </w:tcBorders>
            <w:shd w:val="clear" w:color="auto" w:fill="D9D9D9" w:themeFill="background1" w:themeFillShade="D9"/>
          </w:tcPr>
          <w:p w14:paraId="3EF57166" w14:textId="77777777" w:rsidR="0021663E" w:rsidRPr="005241CA" w:rsidRDefault="0021663E" w:rsidP="004017AE">
            <w:pPr>
              <w:rPr>
                <w:sz w:val="18"/>
                <w:szCs w:val="18"/>
              </w:rPr>
            </w:pPr>
            <w:r w:rsidRPr="005241CA">
              <w:rPr>
                <w:sz w:val="18"/>
                <w:szCs w:val="18"/>
              </w:rPr>
              <w:t>Client distinctions</w:t>
            </w:r>
          </w:p>
        </w:tc>
        <w:tc>
          <w:tcPr>
            <w:tcW w:w="9990" w:type="dxa"/>
            <w:tcBorders>
              <w:right w:val="single" w:sz="12" w:space="0" w:color="auto"/>
            </w:tcBorders>
          </w:tcPr>
          <w:p w14:paraId="690C3570" w14:textId="24176309" w:rsidR="0021663E" w:rsidRPr="0021663E" w:rsidRDefault="0021663E" w:rsidP="00785BF6">
            <w:pPr>
              <w:spacing w:after="120"/>
              <w:rPr>
                <w:i/>
                <w:sz w:val="18"/>
                <w:szCs w:val="18"/>
              </w:rPr>
            </w:pPr>
            <w:r w:rsidRPr="0021663E">
              <w:rPr>
                <w:sz w:val="18"/>
                <w:szCs w:val="18"/>
              </w:rPr>
              <w:t xml:space="preserve">All clients are treated as </w:t>
            </w:r>
            <w:r w:rsidR="00785BF6">
              <w:rPr>
                <w:sz w:val="18"/>
                <w:szCs w:val="18"/>
              </w:rPr>
              <w:t>P</w:t>
            </w:r>
            <w:r w:rsidRPr="0021663E">
              <w:rPr>
                <w:sz w:val="18"/>
                <w:szCs w:val="18"/>
              </w:rPr>
              <w:t>rofessional clients for the purpose of Best Execution.</w:t>
            </w:r>
          </w:p>
        </w:tc>
      </w:tr>
      <w:tr w:rsidR="0021663E" w:rsidRPr="003C48D4" w14:paraId="1C2ACCF7" w14:textId="77777777" w:rsidTr="004017AE">
        <w:tc>
          <w:tcPr>
            <w:tcW w:w="4410" w:type="dxa"/>
            <w:tcBorders>
              <w:left w:val="single" w:sz="12" w:space="0" w:color="auto"/>
            </w:tcBorders>
            <w:shd w:val="clear" w:color="auto" w:fill="D9D9D9" w:themeFill="background1" w:themeFillShade="D9"/>
          </w:tcPr>
          <w:p w14:paraId="64F7D495" w14:textId="77777777" w:rsidR="0021663E" w:rsidRPr="005241CA" w:rsidRDefault="0021663E" w:rsidP="004017AE">
            <w:pPr>
              <w:rPr>
                <w:sz w:val="18"/>
                <w:szCs w:val="18"/>
              </w:rPr>
            </w:pPr>
            <w:r w:rsidRPr="005241CA">
              <w:rPr>
                <w:sz w:val="18"/>
                <w:szCs w:val="18"/>
              </w:rPr>
              <w:t>Use of data/tools relating to the quality of execution</w:t>
            </w:r>
          </w:p>
        </w:tc>
        <w:tc>
          <w:tcPr>
            <w:tcW w:w="9990" w:type="dxa"/>
            <w:tcBorders>
              <w:right w:val="single" w:sz="12" w:space="0" w:color="auto"/>
            </w:tcBorders>
          </w:tcPr>
          <w:p w14:paraId="12A34215" w14:textId="77777777" w:rsidR="0021663E" w:rsidRPr="0021663E" w:rsidRDefault="0021663E" w:rsidP="004017AE">
            <w:pPr>
              <w:spacing w:after="120"/>
              <w:rPr>
                <w:i/>
                <w:sz w:val="18"/>
                <w:szCs w:val="18"/>
              </w:rPr>
            </w:pPr>
            <w:r w:rsidRPr="0021663E">
              <w:rPr>
                <w:sz w:val="18"/>
                <w:szCs w:val="18"/>
              </w:rPr>
              <w:t>The quality of the execution is monitored through the Bank’s automated systems which manage and reconcile executions of orders against execution factors relevant to a particular line of business as further outlined in J.P. Morgan EMEA Securities Services: Execution Policy. Any exceptions or errors identified are managed by a dedicated team within a reasonable time. On a periodic basis, Best Execution metrics are compiled and consolidated for a particular line of business for review at the relevant business control forum.</w:t>
            </w:r>
          </w:p>
        </w:tc>
      </w:tr>
      <w:tr w:rsidR="0021663E" w:rsidRPr="003C48D4" w14:paraId="0CBFC281" w14:textId="77777777" w:rsidTr="004017AE">
        <w:tc>
          <w:tcPr>
            <w:tcW w:w="4410" w:type="dxa"/>
            <w:tcBorders>
              <w:left w:val="single" w:sz="12" w:space="0" w:color="auto"/>
              <w:bottom w:val="single" w:sz="12" w:space="0" w:color="auto"/>
            </w:tcBorders>
            <w:shd w:val="clear" w:color="auto" w:fill="D9D9D9" w:themeFill="background1" w:themeFillShade="D9"/>
          </w:tcPr>
          <w:p w14:paraId="3105CF16" w14:textId="77777777" w:rsidR="0021663E" w:rsidRPr="005241CA" w:rsidRDefault="0021663E" w:rsidP="004017AE">
            <w:pPr>
              <w:rPr>
                <w:sz w:val="18"/>
                <w:szCs w:val="18"/>
              </w:rPr>
            </w:pPr>
            <w:r w:rsidRPr="005241CA">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46E6510A" w14:textId="77777777" w:rsidR="0021663E" w:rsidRPr="00E65556" w:rsidRDefault="0021663E" w:rsidP="004017AE">
            <w:pPr>
              <w:spacing w:after="120"/>
              <w:rPr>
                <w:i/>
                <w:sz w:val="18"/>
                <w:szCs w:val="18"/>
              </w:rPr>
            </w:pPr>
            <w:r>
              <w:rPr>
                <w:sz w:val="18"/>
                <w:szCs w:val="18"/>
              </w:rPr>
              <w:t xml:space="preserve">Not Applicable </w:t>
            </w:r>
          </w:p>
        </w:tc>
      </w:tr>
    </w:tbl>
    <w:p w14:paraId="5E8D82F7" w14:textId="51F2A609" w:rsidR="00DB02C7" w:rsidRDefault="00DB02C7" w:rsidP="007A6941">
      <w:pPr>
        <w:rPr>
          <w:color w:val="FF0000"/>
        </w:rPr>
      </w:pPr>
    </w:p>
    <w:p w14:paraId="64D89304" w14:textId="77777777" w:rsidR="00DB02C7" w:rsidRDefault="00DB02C7">
      <w:pPr>
        <w:rPr>
          <w:color w:val="FF0000"/>
        </w:rPr>
      </w:pPr>
      <w:r>
        <w:rPr>
          <w:color w:val="FF0000"/>
        </w:rPr>
        <w:br w:type="page"/>
      </w:r>
    </w:p>
    <w:tbl>
      <w:tblPr>
        <w:tblStyle w:val="TableGrid"/>
        <w:tblW w:w="14400" w:type="dxa"/>
        <w:tblInd w:w="468" w:type="dxa"/>
        <w:tblLook w:val="04A0" w:firstRow="1" w:lastRow="0" w:firstColumn="1" w:lastColumn="0" w:noHBand="0" w:noVBand="1"/>
      </w:tblPr>
      <w:tblGrid>
        <w:gridCol w:w="4410"/>
        <w:gridCol w:w="9990"/>
      </w:tblGrid>
      <w:tr w:rsidR="00475742" w:rsidRPr="00E65556" w14:paraId="31A8F5FB" w14:textId="77777777" w:rsidTr="008A4C98">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808E3E2" w14:textId="77777777" w:rsidR="00475742" w:rsidRPr="003C48D4" w:rsidRDefault="00475742" w:rsidP="008A4C98">
            <w:pPr>
              <w:rPr>
                <w:sz w:val="18"/>
                <w:szCs w:val="18"/>
              </w:rPr>
            </w:pPr>
            <w:r>
              <w:rPr>
                <w:color w:val="FF0000"/>
              </w:rPr>
              <w:lastRenderedPageBreak/>
              <w:br w:type="page"/>
            </w: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281B12B2" w14:textId="77777777" w:rsidR="00475742" w:rsidRPr="00E65556" w:rsidRDefault="00475742" w:rsidP="008A4C98">
            <w:pPr>
              <w:ind w:right="432"/>
              <w:rPr>
                <w:sz w:val="18"/>
                <w:szCs w:val="18"/>
              </w:rPr>
            </w:pPr>
            <w:r w:rsidRPr="00E65556">
              <w:rPr>
                <w:sz w:val="18"/>
                <w:szCs w:val="18"/>
              </w:rPr>
              <w:t xml:space="preserve">J.P. Morgan AG </w:t>
            </w:r>
            <w:r>
              <w:rPr>
                <w:sz w:val="18"/>
                <w:szCs w:val="18"/>
              </w:rPr>
              <w:t>(</w:t>
            </w:r>
            <w:r w:rsidRPr="00E65556">
              <w:rPr>
                <w:sz w:val="18"/>
                <w:szCs w:val="18"/>
              </w:rPr>
              <w:t>549300ZK53CNGEEI6A29</w:t>
            </w:r>
            <w:r>
              <w:rPr>
                <w:sz w:val="18"/>
                <w:szCs w:val="18"/>
              </w:rPr>
              <w:t>)</w:t>
            </w:r>
            <w:r w:rsidRPr="00E65556">
              <w:rPr>
                <w:sz w:val="18"/>
                <w:szCs w:val="18"/>
              </w:rPr>
              <w:t xml:space="preserve"> </w:t>
            </w:r>
          </w:p>
        </w:tc>
      </w:tr>
      <w:tr w:rsidR="00475742" w:rsidRPr="003C48D4" w14:paraId="7A2B6E56" w14:textId="77777777" w:rsidTr="008A4C98">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39F16451" w14:textId="77777777" w:rsidR="00475742" w:rsidRPr="003C48D4" w:rsidRDefault="00475742" w:rsidP="008A4C98">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7CA251DC" w14:textId="151AEDA8" w:rsidR="00475742" w:rsidRPr="003C48D4" w:rsidRDefault="00475742" w:rsidP="008A4C98">
            <w:pPr>
              <w:rPr>
                <w:color w:val="0000FF"/>
                <w:sz w:val="18"/>
                <w:szCs w:val="18"/>
              </w:rPr>
            </w:pPr>
            <w:r>
              <w:rPr>
                <w:sz w:val="18"/>
                <w:szCs w:val="18"/>
              </w:rPr>
              <w:t>Futures and Options admitted to trading on a trading venue (Commodities Derivatives And Emission Allowances Derivatives,  Equity Derivatives, Exchange Traded Products and Other Instruments)</w:t>
            </w:r>
          </w:p>
        </w:tc>
      </w:tr>
      <w:tr w:rsidR="00475742" w:rsidRPr="003C48D4" w14:paraId="5A4A335E" w14:textId="77777777" w:rsidTr="008A4C98">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6F34DE89" w14:textId="77777777" w:rsidR="00475742" w:rsidRPr="003C48D4" w:rsidRDefault="00475742" w:rsidP="008A4C98">
            <w:pPr>
              <w:jc w:val="center"/>
              <w:rPr>
                <w:sz w:val="18"/>
                <w:szCs w:val="18"/>
              </w:rPr>
            </w:pPr>
            <w:r w:rsidRPr="003C48D4">
              <w:rPr>
                <w:sz w:val="18"/>
                <w:szCs w:val="18"/>
              </w:rPr>
              <w:t>Summary of Analysis</w:t>
            </w:r>
          </w:p>
        </w:tc>
      </w:tr>
      <w:tr w:rsidR="00475742" w:rsidRPr="0021663E" w14:paraId="2B9B2261" w14:textId="77777777" w:rsidTr="008A4C98">
        <w:tc>
          <w:tcPr>
            <w:tcW w:w="14400" w:type="dxa"/>
            <w:gridSpan w:val="2"/>
            <w:tcBorders>
              <w:left w:val="single" w:sz="12" w:space="0" w:color="auto"/>
              <w:right w:val="single" w:sz="12" w:space="0" w:color="auto"/>
            </w:tcBorders>
          </w:tcPr>
          <w:p w14:paraId="294774F8" w14:textId="77777777" w:rsidR="00475742" w:rsidRDefault="00475742" w:rsidP="00475742">
            <w:pPr>
              <w:rPr>
                <w:sz w:val="18"/>
                <w:szCs w:val="18"/>
              </w:rPr>
            </w:pPr>
            <w:r>
              <w:rPr>
                <w:bCs/>
                <w:sz w:val="18"/>
                <w:szCs w:val="18"/>
              </w:rPr>
              <w:t xml:space="preserve">The Futures and Options admitted to trading on a trading venue that have been subject to Best Execution are products falling under the Relevant Exchange Traded section of Appendix 3 to the </w:t>
            </w:r>
            <w:hyperlink r:id="rId11" w:history="1">
              <w:r>
                <w:rPr>
                  <w:rStyle w:val="Hyperlink"/>
                  <w:bCs/>
                  <w:color w:val="000000"/>
                  <w:sz w:val="18"/>
                  <w:szCs w:val="18"/>
                </w:rPr>
                <w:t>J.P. Morgan Execution Policy</w:t>
              </w:r>
            </w:hyperlink>
            <w:r>
              <w:rPr>
                <w:bCs/>
                <w:sz w:val="18"/>
                <w:szCs w:val="18"/>
              </w:rPr>
              <w:t xml:space="preserve">. </w:t>
            </w:r>
          </w:p>
          <w:p w14:paraId="355F0CE2" w14:textId="77777777" w:rsidR="00475742" w:rsidRDefault="00475742" w:rsidP="00475742">
            <w:pPr>
              <w:rPr>
                <w:sz w:val="18"/>
                <w:szCs w:val="18"/>
              </w:rPr>
            </w:pPr>
            <w:r>
              <w:rPr>
                <w:bCs/>
                <w:sz w:val="18"/>
                <w:szCs w:val="18"/>
              </w:rPr>
              <w:t> </w:t>
            </w:r>
          </w:p>
          <w:p w14:paraId="6BA171E4" w14:textId="138DB511" w:rsidR="00475742" w:rsidRPr="0021663E" w:rsidRDefault="00475742" w:rsidP="00475742">
            <w:pPr>
              <w:rPr>
                <w:color w:val="1F497D" w:themeColor="text2"/>
                <w:sz w:val="18"/>
                <w:szCs w:val="18"/>
              </w:rPr>
            </w:pPr>
            <w:r>
              <w:rPr>
                <w:bCs/>
                <w:sz w:val="18"/>
                <w:szCs w:val="18"/>
              </w:rPr>
              <w:t>J.P. Morgan monitored Best Execution in Futures and Options admitted to a trading venue o</w:t>
            </w:r>
            <w:r w:rsidR="00604858">
              <w:rPr>
                <w:bCs/>
                <w:sz w:val="18"/>
                <w:szCs w:val="18"/>
              </w:rPr>
              <w:t xml:space="preserve">n a regular basis, through post </w:t>
            </w:r>
            <w:r>
              <w:rPr>
                <w:bCs/>
                <w:sz w:val="18"/>
                <w:szCs w:val="18"/>
              </w:rPr>
              <w:t xml:space="preserve">trade controls. The results of the monitoring were reviewed by J.P. Morgan management and control functions.  J.P. Morgan regularly reviews the post trade controls to ensure that these continue to be relevant and where possible enhanced to ensure </w:t>
            </w:r>
            <w:r w:rsidR="006734AA">
              <w:rPr>
                <w:bCs/>
                <w:sz w:val="18"/>
                <w:szCs w:val="18"/>
              </w:rPr>
              <w:t xml:space="preserve">Best Execution </w:t>
            </w:r>
            <w:r>
              <w:rPr>
                <w:bCs/>
                <w:sz w:val="18"/>
                <w:szCs w:val="18"/>
              </w:rPr>
              <w:t>continue to be met. Best Execution monitoring results were in line with J.P. Morgan expectations</w:t>
            </w:r>
            <w:r>
              <w:rPr>
                <w:b/>
                <w:bCs/>
                <w:sz w:val="18"/>
                <w:szCs w:val="18"/>
              </w:rPr>
              <w:t>.</w:t>
            </w:r>
          </w:p>
        </w:tc>
        <w:bookmarkStart w:id="0" w:name="_GoBack"/>
        <w:bookmarkEnd w:id="0"/>
      </w:tr>
      <w:tr w:rsidR="00475742" w:rsidRPr="0021663E" w14:paraId="25F9DD17" w14:textId="77777777" w:rsidTr="008A4C98">
        <w:tc>
          <w:tcPr>
            <w:tcW w:w="4410" w:type="dxa"/>
            <w:tcBorders>
              <w:left w:val="single" w:sz="12" w:space="0" w:color="auto"/>
            </w:tcBorders>
            <w:shd w:val="clear" w:color="auto" w:fill="D9D9D9" w:themeFill="background1" w:themeFillShade="D9"/>
          </w:tcPr>
          <w:p w14:paraId="7982A21A" w14:textId="77777777" w:rsidR="00475742" w:rsidRPr="005241CA" w:rsidRDefault="00475742" w:rsidP="008A4C98">
            <w:pPr>
              <w:rPr>
                <w:sz w:val="18"/>
                <w:szCs w:val="18"/>
              </w:rPr>
            </w:pPr>
            <w:r w:rsidRPr="005241CA">
              <w:rPr>
                <w:sz w:val="18"/>
                <w:szCs w:val="18"/>
              </w:rPr>
              <w:t>Relative importance given to execution factors &amp; other considerations</w:t>
            </w:r>
          </w:p>
        </w:tc>
        <w:tc>
          <w:tcPr>
            <w:tcW w:w="9990" w:type="dxa"/>
            <w:tcBorders>
              <w:right w:val="single" w:sz="12" w:space="0" w:color="auto"/>
            </w:tcBorders>
          </w:tcPr>
          <w:p w14:paraId="2391A87F" w14:textId="4ABF31D0" w:rsidR="00475742" w:rsidRPr="0021663E" w:rsidRDefault="00475742" w:rsidP="00604858">
            <w:pPr>
              <w:spacing w:after="120"/>
              <w:jc w:val="both"/>
              <w:rPr>
                <w:sz w:val="18"/>
                <w:szCs w:val="18"/>
              </w:rPr>
            </w:pPr>
            <w:r>
              <w:rPr>
                <w:bCs/>
                <w:sz w:val="18"/>
                <w:szCs w:val="18"/>
              </w:rPr>
              <w:t xml:space="preserve">The importance given in situations in which J.P. Morgan AG owes Best Execution is set out in Appendix 3 </w:t>
            </w:r>
            <w:r w:rsidR="00604858">
              <w:rPr>
                <w:bCs/>
                <w:sz w:val="18"/>
                <w:szCs w:val="18"/>
              </w:rPr>
              <w:t xml:space="preserve">of </w:t>
            </w:r>
            <w:r>
              <w:rPr>
                <w:bCs/>
                <w:sz w:val="18"/>
                <w:szCs w:val="18"/>
              </w:rPr>
              <w:t xml:space="preserve">the </w:t>
            </w:r>
            <w:hyperlink r:id="rId12" w:history="1">
              <w:r w:rsidRPr="00475742">
                <w:rPr>
                  <w:rStyle w:val="Hyperlink"/>
                  <w:bCs/>
                  <w:sz w:val="18"/>
                  <w:szCs w:val="18"/>
                </w:rPr>
                <w:t>J.P. Morgan Execution Policy.</w:t>
              </w:r>
            </w:hyperlink>
            <w:r w:rsidRPr="0021663E">
              <w:rPr>
                <w:sz w:val="18"/>
                <w:szCs w:val="18"/>
              </w:rPr>
              <w:t xml:space="preserve">  </w:t>
            </w:r>
          </w:p>
        </w:tc>
      </w:tr>
      <w:tr w:rsidR="00475742" w:rsidRPr="0021663E" w14:paraId="2CA23AAF" w14:textId="77777777" w:rsidTr="008A4C98">
        <w:trPr>
          <w:trHeight w:val="485"/>
        </w:trPr>
        <w:tc>
          <w:tcPr>
            <w:tcW w:w="4410" w:type="dxa"/>
            <w:tcBorders>
              <w:left w:val="single" w:sz="12" w:space="0" w:color="auto"/>
            </w:tcBorders>
            <w:shd w:val="clear" w:color="auto" w:fill="D9D9D9" w:themeFill="background1" w:themeFillShade="D9"/>
          </w:tcPr>
          <w:p w14:paraId="7DA383BC" w14:textId="77777777" w:rsidR="00475742" w:rsidRPr="005241CA" w:rsidRDefault="00475742" w:rsidP="008A4C98">
            <w:pPr>
              <w:rPr>
                <w:sz w:val="18"/>
                <w:szCs w:val="18"/>
              </w:rPr>
            </w:pPr>
            <w:r w:rsidRPr="005241CA">
              <w:rPr>
                <w:sz w:val="18"/>
                <w:szCs w:val="18"/>
              </w:rPr>
              <w:t>Execution venue close links / conflicts of interest / common ownerships</w:t>
            </w:r>
          </w:p>
        </w:tc>
        <w:tc>
          <w:tcPr>
            <w:tcW w:w="9990" w:type="dxa"/>
            <w:tcBorders>
              <w:right w:val="single" w:sz="12" w:space="0" w:color="auto"/>
            </w:tcBorders>
          </w:tcPr>
          <w:p w14:paraId="70A610F8" w14:textId="79253C8D" w:rsidR="00475742" w:rsidRDefault="00475742" w:rsidP="00475742">
            <w:pPr>
              <w:rPr>
                <w:sz w:val="18"/>
                <w:szCs w:val="18"/>
              </w:rPr>
            </w:pPr>
            <w:r>
              <w:rPr>
                <w:sz w:val="18"/>
                <w:szCs w:val="18"/>
              </w:rPr>
              <w:t xml:space="preserve">J.P. Morgan AG is a fully owned subsidiary of </w:t>
            </w:r>
            <w:r w:rsidR="009770AA">
              <w:rPr>
                <w:sz w:val="18"/>
                <w:szCs w:val="18"/>
              </w:rPr>
              <w:t xml:space="preserve">JPMorgan Chase &amp; Co. </w:t>
            </w:r>
          </w:p>
          <w:p w14:paraId="0501AEF9" w14:textId="2DE5EF6F" w:rsidR="00475742" w:rsidRPr="0021663E" w:rsidRDefault="00475742" w:rsidP="00475742">
            <w:pPr>
              <w:rPr>
                <w:sz w:val="18"/>
                <w:szCs w:val="18"/>
              </w:rPr>
            </w:pPr>
            <w:r>
              <w:rPr>
                <w:sz w:val="18"/>
                <w:szCs w:val="18"/>
              </w:rPr>
              <w:t>J.P. Morgan Financial Investments Limited has a stake (of 2.4%) in Turquoise Global Holdings Limited which owns the trading venue Turquoise. </w:t>
            </w:r>
          </w:p>
        </w:tc>
      </w:tr>
      <w:tr w:rsidR="00475742" w:rsidRPr="0021663E" w14:paraId="0793374D" w14:textId="77777777" w:rsidTr="008A4C98">
        <w:tc>
          <w:tcPr>
            <w:tcW w:w="4410" w:type="dxa"/>
            <w:tcBorders>
              <w:left w:val="single" w:sz="12" w:space="0" w:color="auto"/>
            </w:tcBorders>
            <w:shd w:val="clear" w:color="auto" w:fill="D9D9D9" w:themeFill="background1" w:themeFillShade="D9"/>
          </w:tcPr>
          <w:p w14:paraId="66B21633" w14:textId="77777777" w:rsidR="00475742" w:rsidRPr="005241CA" w:rsidRDefault="00475742" w:rsidP="008A4C98">
            <w:pPr>
              <w:rPr>
                <w:sz w:val="18"/>
                <w:szCs w:val="18"/>
              </w:rPr>
            </w:pPr>
            <w:r w:rsidRPr="005241CA">
              <w:rPr>
                <w:sz w:val="18"/>
                <w:szCs w:val="18"/>
              </w:rPr>
              <w:t>Specific execution venue arrangements</w:t>
            </w:r>
          </w:p>
        </w:tc>
        <w:tc>
          <w:tcPr>
            <w:tcW w:w="9990" w:type="dxa"/>
            <w:tcBorders>
              <w:right w:val="single" w:sz="12" w:space="0" w:color="auto"/>
            </w:tcBorders>
          </w:tcPr>
          <w:p w14:paraId="5C58D9E4" w14:textId="77777777" w:rsidR="00475742" w:rsidRDefault="00475742" w:rsidP="00475742">
            <w:pPr>
              <w:rPr>
                <w:sz w:val="18"/>
                <w:szCs w:val="18"/>
              </w:rPr>
            </w:pPr>
            <w:r>
              <w:rPr>
                <w:sz w:val="18"/>
                <w:szCs w:val="18"/>
              </w:rPr>
              <w:t>Regarding payments made or received, discounts, rebates or non-monetary benefits received:</w:t>
            </w:r>
          </w:p>
          <w:p w14:paraId="590A9F6E" w14:textId="6CCA4839" w:rsidR="00475742" w:rsidRPr="0021663E" w:rsidRDefault="00475742" w:rsidP="00604858">
            <w:pPr>
              <w:rPr>
                <w:i/>
                <w:sz w:val="18"/>
                <w:szCs w:val="18"/>
              </w:rPr>
            </w:pPr>
            <w:r>
              <w:rPr>
                <w:bCs/>
                <w:sz w:val="18"/>
                <w:szCs w:val="18"/>
              </w:rPr>
              <w:t xml:space="preserve">J.P. Morgan AG </w:t>
            </w:r>
            <w:r>
              <w:rPr>
                <w:sz w:val="18"/>
                <w:szCs w:val="18"/>
              </w:rPr>
              <w:t xml:space="preserve">does not have any specific arrangements with any trading venues other than standard publicly available terms.  Where </w:t>
            </w:r>
            <w:r>
              <w:rPr>
                <w:bCs/>
                <w:sz w:val="18"/>
                <w:szCs w:val="18"/>
              </w:rPr>
              <w:t xml:space="preserve">J.P. Morgan AG </w:t>
            </w:r>
            <w:r>
              <w:rPr>
                <w:sz w:val="18"/>
                <w:szCs w:val="18"/>
              </w:rPr>
              <w:t>contracts with execution venues, it may negotiate specific commercial terms bilaterally with those venues but those terms will not include being compensated directly or indirectly for business given to those venues.</w:t>
            </w:r>
          </w:p>
        </w:tc>
      </w:tr>
      <w:tr w:rsidR="00475742" w:rsidRPr="0021663E" w14:paraId="32B76222" w14:textId="77777777" w:rsidTr="008A4C98">
        <w:trPr>
          <w:trHeight w:val="368"/>
        </w:trPr>
        <w:tc>
          <w:tcPr>
            <w:tcW w:w="4410" w:type="dxa"/>
            <w:tcBorders>
              <w:left w:val="single" w:sz="12" w:space="0" w:color="auto"/>
            </w:tcBorders>
            <w:shd w:val="clear" w:color="auto" w:fill="D9D9D9" w:themeFill="background1" w:themeFillShade="D9"/>
          </w:tcPr>
          <w:p w14:paraId="35BD2D83" w14:textId="77777777" w:rsidR="00475742" w:rsidRPr="005241CA" w:rsidRDefault="00475742" w:rsidP="008A4C98">
            <w:pPr>
              <w:rPr>
                <w:sz w:val="18"/>
                <w:szCs w:val="18"/>
              </w:rPr>
            </w:pPr>
            <w:r w:rsidRPr="005241CA">
              <w:rPr>
                <w:sz w:val="18"/>
                <w:szCs w:val="18"/>
              </w:rPr>
              <w:t>Changes to execution venues</w:t>
            </w:r>
          </w:p>
        </w:tc>
        <w:tc>
          <w:tcPr>
            <w:tcW w:w="9990" w:type="dxa"/>
            <w:tcBorders>
              <w:right w:val="single" w:sz="12" w:space="0" w:color="auto"/>
            </w:tcBorders>
          </w:tcPr>
          <w:p w14:paraId="03C1213A" w14:textId="77777777" w:rsidR="00475742" w:rsidRPr="00520497" w:rsidRDefault="00475742" w:rsidP="00475742">
            <w:pPr>
              <w:rPr>
                <w:sz w:val="18"/>
                <w:szCs w:val="18"/>
              </w:rPr>
            </w:pPr>
            <w:r w:rsidRPr="00520497">
              <w:rPr>
                <w:sz w:val="18"/>
                <w:szCs w:val="18"/>
              </w:rPr>
              <w:t>In the latter part of 2018 J.P. Morgan AG commenced trading on the following execution venues in sequential order:</w:t>
            </w:r>
          </w:p>
          <w:p w14:paraId="48656B03" w14:textId="77777777" w:rsidR="00475742" w:rsidRPr="00520497" w:rsidRDefault="00475742" w:rsidP="00475742">
            <w:pPr>
              <w:numPr>
                <w:ilvl w:val="0"/>
                <w:numId w:val="2"/>
              </w:numPr>
              <w:rPr>
                <w:sz w:val="18"/>
                <w:szCs w:val="18"/>
              </w:rPr>
            </w:pPr>
            <w:r w:rsidRPr="00520497">
              <w:rPr>
                <w:sz w:val="18"/>
                <w:szCs w:val="18"/>
              </w:rPr>
              <w:t xml:space="preserve">Mercado </w:t>
            </w:r>
            <w:proofErr w:type="spellStart"/>
            <w:r w:rsidRPr="00520497">
              <w:rPr>
                <w:sz w:val="18"/>
                <w:szCs w:val="18"/>
              </w:rPr>
              <w:t>Espanol</w:t>
            </w:r>
            <w:proofErr w:type="spellEnd"/>
            <w:r w:rsidRPr="00520497">
              <w:rPr>
                <w:sz w:val="18"/>
                <w:szCs w:val="18"/>
              </w:rPr>
              <w:t xml:space="preserve"> Futures </w:t>
            </w:r>
            <w:proofErr w:type="spellStart"/>
            <w:r w:rsidRPr="00520497">
              <w:rPr>
                <w:sz w:val="18"/>
                <w:szCs w:val="18"/>
              </w:rPr>
              <w:t>Financeros</w:t>
            </w:r>
            <w:proofErr w:type="spellEnd"/>
          </w:p>
          <w:p w14:paraId="75C71DFD" w14:textId="77777777" w:rsidR="00475742" w:rsidRPr="00520497" w:rsidRDefault="00475742" w:rsidP="00475742">
            <w:pPr>
              <w:numPr>
                <w:ilvl w:val="0"/>
                <w:numId w:val="2"/>
              </w:numPr>
              <w:rPr>
                <w:sz w:val="18"/>
                <w:szCs w:val="18"/>
              </w:rPr>
            </w:pPr>
            <w:proofErr w:type="spellStart"/>
            <w:r w:rsidRPr="00520497">
              <w:rPr>
                <w:sz w:val="18"/>
                <w:szCs w:val="18"/>
              </w:rPr>
              <w:t>Borsa</w:t>
            </w:r>
            <w:proofErr w:type="spellEnd"/>
            <w:r w:rsidRPr="00520497">
              <w:rPr>
                <w:sz w:val="18"/>
                <w:szCs w:val="18"/>
              </w:rPr>
              <w:t xml:space="preserve"> </w:t>
            </w:r>
            <w:proofErr w:type="spellStart"/>
            <w:r w:rsidRPr="00520497">
              <w:rPr>
                <w:sz w:val="18"/>
                <w:szCs w:val="18"/>
              </w:rPr>
              <w:t>Italiana</w:t>
            </w:r>
            <w:proofErr w:type="spellEnd"/>
          </w:p>
          <w:p w14:paraId="72D6732F" w14:textId="77777777" w:rsidR="00475742" w:rsidRPr="00520497" w:rsidRDefault="00475742" w:rsidP="00475742">
            <w:pPr>
              <w:numPr>
                <w:ilvl w:val="0"/>
                <w:numId w:val="2"/>
              </w:numPr>
              <w:rPr>
                <w:sz w:val="18"/>
                <w:szCs w:val="18"/>
              </w:rPr>
            </w:pPr>
            <w:r w:rsidRPr="00520497">
              <w:rPr>
                <w:sz w:val="18"/>
                <w:szCs w:val="18"/>
              </w:rPr>
              <w:t>Nasdaq Oslo ASA</w:t>
            </w:r>
          </w:p>
          <w:p w14:paraId="280DD114" w14:textId="77777777" w:rsidR="00475742" w:rsidRPr="00520497" w:rsidRDefault="00475742" w:rsidP="00475742">
            <w:pPr>
              <w:numPr>
                <w:ilvl w:val="0"/>
                <w:numId w:val="2"/>
              </w:numPr>
              <w:rPr>
                <w:sz w:val="18"/>
                <w:szCs w:val="18"/>
              </w:rPr>
            </w:pPr>
            <w:r w:rsidRPr="00520497">
              <w:rPr>
                <w:sz w:val="18"/>
                <w:szCs w:val="18"/>
              </w:rPr>
              <w:t>Nasdaq OMX Stockholm AB (Copenhagen)</w:t>
            </w:r>
          </w:p>
          <w:p w14:paraId="351AC19C" w14:textId="77777777" w:rsidR="00475742" w:rsidRPr="00520497" w:rsidRDefault="00475742" w:rsidP="00475742">
            <w:pPr>
              <w:numPr>
                <w:ilvl w:val="0"/>
                <w:numId w:val="2"/>
              </w:numPr>
              <w:rPr>
                <w:sz w:val="18"/>
                <w:szCs w:val="18"/>
              </w:rPr>
            </w:pPr>
            <w:r w:rsidRPr="00520497">
              <w:rPr>
                <w:sz w:val="18"/>
                <w:szCs w:val="18"/>
              </w:rPr>
              <w:t>Nasdaq OMX Stockholm AB (Helsinki)</w:t>
            </w:r>
          </w:p>
          <w:p w14:paraId="5E82533D" w14:textId="77777777" w:rsidR="00475742" w:rsidRPr="00520497" w:rsidRDefault="00475742" w:rsidP="00475742">
            <w:pPr>
              <w:numPr>
                <w:ilvl w:val="0"/>
                <w:numId w:val="2"/>
              </w:numPr>
              <w:rPr>
                <w:sz w:val="18"/>
                <w:szCs w:val="18"/>
              </w:rPr>
            </w:pPr>
            <w:r w:rsidRPr="00520497">
              <w:rPr>
                <w:sz w:val="18"/>
                <w:szCs w:val="18"/>
              </w:rPr>
              <w:t>Nasdaq Stockholm AB</w:t>
            </w:r>
          </w:p>
          <w:p w14:paraId="48C035A2" w14:textId="77777777" w:rsidR="00475742" w:rsidRPr="00520497" w:rsidRDefault="00475742" w:rsidP="00475742">
            <w:pPr>
              <w:numPr>
                <w:ilvl w:val="0"/>
                <w:numId w:val="2"/>
              </w:numPr>
              <w:rPr>
                <w:sz w:val="18"/>
                <w:szCs w:val="18"/>
              </w:rPr>
            </w:pPr>
            <w:r w:rsidRPr="00520497">
              <w:rPr>
                <w:sz w:val="18"/>
                <w:szCs w:val="18"/>
              </w:rPr>
              <w:t>Euronext; Brussels, Paris, Amsterdam, Lisbon</w:t>
            </w:r>
          </w:p>
          <w:p w14:paraId="10D665F7" w14:textId="77777777" w:rsidR="00475742" w:rsidRPr="00520497" w:rsidRDefault="00475742" w:rsidP="00475742">
            <w:pPr>
              <w:numPr>
                <w:ilvl w:val="0"/>
                <w:numId w:val="2"/>
              </w:numPr>
              <w:rPr>
                <w:sz w:val="18"/>
                <w:szCs w:val="18"/>
              </w:rPr>
            </w:pPr>
            <w:r w:rsidRPr="00520497">
              <w:rPr>
                <w:sz w:val="18"/>
                <w:szCs w:val="18"/>
              </w:rPr>
              <w:t>European Energy Exchange</w:t>
            </w:r>
          </w:p>
          <w:p w14:paraId="0C126D9B" w14:textId="77777777" w:rsidR="00475742" w:rsidRPr="00520497" w:rsidRDefault="00475742" w:rsidP="00475742">
            <w:pPr>
              <w:rPr>
                <w:sz w:val="18"/>
                <w:szCs w:val="18"/>
              </w:rPr>
            </w:pPr>
            <w:r w:rsidRPr="00520497">
              <w:rPr>
                <w:sz w:val="18"/>
                <w:szCs w:val="18"/>
              </w:rPr>
              <w:t> </w:t>
            </w:r>
          </w:p>
          <w:p w14:paraId="3587B855" w14:textId="2BB86944" w:rsidR="00475742" w:rsidRPr="0021663E" w:rsidRDefault="00475742" w:rsidP="00604858">
            <w:pPr>
              <w:spacing w:after="120"/>
              <w:rPr>
                <w:i/>
                <w:sz w:val="18"/>
                <w:szCs w:val="18"/>
              </w:rPr>
            </w:pPr>
            <w:r w:rsidRPr="00520497">
              <w:rPr>
                <w:sz w:val="18"/>
                <w:szCs w:val="18"/>
              </w:rPr>
              <w:t xml:space="preserve">Accordingly the 2018 Top Five Execution Venue report </w:t>
            </w:r>
            <w:r w:rsidR="00604858">
              <w:rPr>
                <w:sz w:val="18"/>
                <w:szCs w:val="18"/>
              </w:rPr>
              <w:t xml:space="preserve">is </w:t>
            </w:r>
            <w:r w:rsidRPr="00520497">
              <w:rPr>
                <w:sz w:val="18"/>
                <w:szCs w:val="18"/>
              </w:rPr>
              <w:t>limited to venues on which J.P. Morgan AG commenced trading during the reporting period.</w:t>
            </w:r>
          </w:p>
        </w:tc>
      </w:tr>
      <w:tr w:rsidR="00475742" w:rsidRPr="0021663E" w14:paraId="59D58321" w14:textId="77777777" w:rsidTr="008A4C98">
        <w:tc>
          <w:tcPr>
            <w:tcW w:w="4410" w:type="dxa"/>
            <w:tcBorders>
              <w:left w:val="single" w:sz="12" w:space="0" w:color="auto"/>
            </w:tcBorders>
            <w:shd w:val="clear" w:color="auto" w:fill="D9D9D9" w:themeFill="background1" w:themeFillShade="D9"/>
          </w:tcPr>
          <w:p w14:paraId="403C703E" w14:textId="77777777" w:rsidR="00475742" w:rsidRPr="005241CA" w:rsidRDefault="00475742" w:rsidP="00475742">
            <w:pPr>
              <w:rPr>
                <w:sz w:val="18"/>
                <w:szCs w:val="18"/>
              </w:rPr>
            </w:pPr>
            <w:r w:rsidRPr="005241CA">
              <w:rPr>
                <w:sz w:val="18"/>
                <w:szCs w:val="18"/>
              </w:rPr>
              <w:t>Client distinctions</w:t>
            </w:r>
          </w:p>
        </w:tc>
        <w:tc>
          <w:tcPr>
            <w:tcW w:w="9990" w:type="dxa"/>
            <w:tcBorders>
              <w:right w:val="single" w:sz="12" w:space="0" w:color="auto"/>
            </w:tcBorders>
          </w:tcPr>
          <w:p w14:paraId="69AAD5B5" w14:textId="7259F686" w:rsidR="00475742" w:rsidRPr="0021663E" w:rsidRDefault="00475742" w:rsidP="00475742">
            <w:pPr>
              <w:spacing w:after="120"/>
              <w:rPr>
                <w:i/>
                <w:sz w:val="18"/>
                <w:szCs w:val="18"/>
              </w:rPr>
            </w:pPr>
            <w:r>
              <w:rPr>
                <w:sz w:val="18"/>
                <w:szCs w:val="18"/>
              </w:rPr>
              <w:t xml:space="preserve">J.P. Morgan AG does not differentiate between different classes of clients for the purposes of Best Execution.  </w:t>
            </w:r>
          </w:p>
        </w:tc>
      </w:tr>
      <w:tr w:rsidR="00475742" w:rsidRPr="0021663E" w14:paraId="09AC3E6B" w14:textId="77777777" w:rsidTr="008A4C98">
        <w:tc>
          <w:tcPr>
            <w:tcW w:w="4410" w:type="dxa"/>
            <w:tcBorders>
              <w:left w:val="single" w:sz="12" w:space="0" w:color="auto"/>
            </w:tcBorders>
            <w:shd w:val="clear" w:color="auto" w:fill="D9D9D9" w:themeFill="background1" w:themeFillShade="D9"/>
          </w:tcPr>
          <w:p w14:paraId="6F1464EC" w14:textId="77777777" w:rsidR="00475742" w:rsidRPr="005241CA" w:rsidRDefault="00475742" w:rsidP="00475742">
            <w:pPr>
              <w:rPr>
                <w:sz w:val="18"/>
                <w:szCs w:val="18"/>
              </w:rPr>
            </w:pPr>
            <w:r w:rsidRPr="005241CA">
              <w:rPr>
                <w:sz w:val="18"/>
                <w:szCs w:val="18"/>
              </w:rPr>
              <w:t>Use of data/tools relating to the quality of execution</w:t>
            </w:r>
          </w:p>
        </w:tc>
        <w:tc>
          <w:tcPr>
            <w:tcW w:w="9990" w:type="dxa"/>
            <w:tcBorders>
              <w:right w:val="single" w:sz="12" w:space="0" w:color="auto"/>
            </w:tcBorders>
          </w:tcPr>
          <w:p w14:paraId="7C70AD10" w14:textId="1B2EE814" w:rsidR="00475742" w:rsidRPr="0021663E" w:rsidRDefault="00475742" w:rsidP="00475742">
            <w:pPr>
              <w:spacing w:after="120"/>
              <w:rPr>
                <w:i/>
                <w:sz w:val="18"/>
                <w:szCs w:val="18"/>
              </w:rPr>
            </w:pPr>
            <w:r>
              <w:rPr>
                <w:sz w:val="18"/>
                <w:szCs w:val="18"/>
              </w:rPr>
              <w:t xml:space="preserve">J.P. Morgan AG used internal data sources to assess Best Execution. </w:t>
            </w:r>
          </w:p>
        </w:tc>
      </w:tr>
      <w:tr w:rsidR="00475742" w:rsidRPr="00E65556" w14:paraId="0BF57EF3" w14:textId="77777777" w:rsidTr="008A4C98">
        <w:tc>
          <w:tcPr>
            <w:tcW w:w="4410" w:type="dxa"/>
            <w:tcBorders>
              <w:left w:val="single" w:sz="12" w:space="0" w:color="auto"/>
              <w:bottom w:val="single" w:sz="12" w:space="0" w:color="auto"/>
            </w:tcBorders>
            <w:shd w:val="clear" w:color="auto" w:fill="D9D9D9" w:themeFill="background1" w:themeFillShade="D9"/>
          </w:tcPr>
          <w:p w14:paraId="2FE34F3C" w14:textId="77777777" w:rsidR="00475742" w:rsidRPr="005241CA" w:rsidRDefault="00475742" w:rsidP="00475742">
            <w:pPr>
              <w:rPr>
                <w:sz w:val="18"/>
                <w:szCs w:val="18"/>
              </w:rPr>
            </w:pPr>
            <w:r w:rsidRPr="005241CA">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3E638BC3" w14:textId="55510BFC" w:rsidR="00475742" w:rsidRPr="00E65556" w:rsidRDefault="00475742" w:rsidP="00475742">
            <w:pPr>
              <w:spacing w:after="120"/>
              <w:rPr>
                <w:i/>
                <w:sz w:val="18"/>
                <w:szCs w:val="18"/>
              </w:rPr>
            </w:pPr>
            <w:r>
              <w:rPr>
                <w:sz w:val="18"/>
                <w:szCs w:val="18"/>
              </w:rPr>
              <w:t>Not Applicable</w:t>
            </w:r>
          </w:p>
        </w:tc>
      </w:tr>
    </w:tbl>
    <w:p w14:paraId="3289ACF1" w14:textId="48D24B69" w:rsidR="00475742" w:rsidRDefault="00475742">
      <w:pPr>
        <w:rPr>
          <w:color w:val="FF0000"/>
        </w:rPr>
      </w:pPr>
    </w:p>
    <w:p w14:paraId="66291AB6" w14:textId="1F1EEAF0" w:rsidR="003C48D4" w:rsidRPr="00221856" w:rsidRDefault="003C48D4" w:rsidP="007A6941">
      <w:pPr>
        <w:rPr>
          <w:color w:val="FF0000"/>
        </w:rPr>
      </w:pPr>
    </w:p>
    <w:sectPr w:rsidR="003C48D4" w:rsidRPr="00221856" w:rsidSect="00791919">
      <w:footerReference w:type="default" r:id="rId13"/>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A8A4F4" w14:textId="77777777" w:rsidR="00433831" w:rsidRDefault="00433831" w:rsidP="00791919">
      <w:pPr>
        <w:spacing w:after="0" w:line="240" w:lineRule="auto"/>
      </w:pPr>
      <w:r>
        <w:separator/>
      </w:r>
    </w:p>
  </w:endnote>
  <w:endnote w:type="continuationSeparator" w:id="0">
    <w:p w14:paraId="5AE6686D" w14:textId="77777777" w:rsidR="00433831" w:rsidRDefault="00433831"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30BEC" w14:textId="6F2A0D3E" w:rsidR="00791919" w:rsidRDefault="005241CA">
    <w:pPr>
      <w:pStyle w:val="Footer"/>
    </w:pPr>
    <w:r w:rsidRPr="00E65556">
      <w:rPr>
        <w:sz w:val="18"/>
        <w:szCs w:val="18"/>
      </w:rPr>
      <w:t xml:space="preserve">J.P. Morgan AG </w:t>
    </w:r>
    <w:r>
      <w:rPr>
        <w:sz w:val="18"/>
        <w:szCs w:val="18"/>
      </w:rPr>
      <w:t>(</w:t>
    </w:r>
    <w:r w:rsidRPr="00E65556">
      <w:rPr>
        <w:sz w:val="18"/>
        <w:szCs w:val="18"/>
      </w:rPr>
      <w:t>549300ZK53CNGEEI6A29</w:t>
    </w:r>
    <w:r>
      <w:rPr>
        <w:sz w:val="18"/>
        <w:szCs w:val="18"/>
      </w:rPr>
      <w:t>)</w:t>
    </w:r>
    <w:r w:rsidRPr="00E65556">
      <w:rPr>
        <w:sz w:val="18"/>
        <w:szCs w:val="18"/>
      </w:rPr>
      <w:t xml:space="preserve"> </w:t>
    </w:r>
    <w:r w:rsidR="00791919">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3B4AEE4C"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3B4AEE4C"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9524BDD"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54712" w14:textId="77777777" w:rsidR="00433831" w:rsidRDefault="00433831" w:rsidP="00791919">
      <w:pPr>
        <w:spacing w:after="0" w:line="240" w:lineRule="auto"/>
      </w:pPr>
      <w:r>
        <w:separator/>
      </w:r>
    </w:p>
  </w:footnote>
  <w:footnote w:type="continuationSeparator" w:id="0">
    <w:p w14:paraId="35F8AB31" w14:textId="77777777" w:rsidR="00433831" w:rsidRDefault="00433831" w:rsidP="007919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C3057"/>
    <w:multiLevelType w:val="hybridMultilevel"/>
    <w:tmpl w:val="734CA9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731340"/>
    <w:multiLevelType w:val="multilevel"/>
    <w:tmpl w:val="40CC64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4780"/>
    <w:rsid w:val="000254A4"/>
    <w:rsid w:val="0003509A"/>
    <w:rsid w:val="000469E1"/>
    <w:rsid w:val="00070C4A"/>
    <w:rsid w:val="000B29B9"/>
    <w:rsid w:val="00101160"/>
    <w:rsid w:val="0012368B"/>
    <w:rsid w:val="00141D70"/>
    <w:rsid w:val="00192129"/>
    <w:rsid w:val="001D0CA7"/>
    <w:rsid w:val="001E0FA6"/>
    <w:rsid w:val="001E1FA8"/>
    <w:rsid w:val="001E4046"/>
    <w:rsid w:val="00210DEB"/>
    <w:rsid w:val="0021663E"/>
    <w:rsid w:val="00217666"/>
    <w:rsid w:val="00221856"/>
    <w:rsid w:val="00236BCE"/>
    <w:rsid w:val="002B39A0"/>
    <w:rsid w:val="002D07D7"/>
    <w:rsid w:val="002D1780"/>
    <w:rsid w:val="003008C6"/>
    <w:rsid w:val="00307A3E"/>
    <w:rsid w:val="0035063A"/>
    <w:rsid w:val="003537EB"/>
    <w:rsid w:val="003930C7"/>
    <w:rsid w:val="003A6015"/>
    <w:rsid w:val="003C48D4"/>
    <w:rsid w:val="00416AFA"/>
    <w:rsid w:val="00425674"/>
    <w:rsid w:val="00433831"/>
    <w:rsid w:val="0047552E"/>
    <w:rsid w:val="00475742"/>
    <w:rsid w:val="005074E2"/>
    <w:rsid w:val="005110F9"/>
    <w:rsid w:val="00520497"/>
    <w:rsid w:val="00520E03"/>
    <w:rsid w:val="00521911"/>
    <w:rsid w:val="005241CA"/>
    <w:rsid w:val="00576636"/>
    <w:rsid w:val="00581F73"/>
    <w:rsid w:val="005B14E1"/>
    <w:rsid w:val="005B29EE"/>
    <w:rsid w:val="005C53DA"/>
    <w:rsid w:val="00604858"/>
    <w:rsid w:val="00667ED1"/>
    <w:rsid w:val="006734AA"/>
    <w:rsid w:val="006B03A5"/>
    <w:rsid w:val="006B67A6"/>
    <w:rsid w:val="007152F0"/>
    <w:rsid w:val="00751949"/>
    <w:rsid w:val="007746E1"/>
    <w:rsid w:val="00785BF6"/>
    <w:rsid w:val="00791919"/>
    <w:rsid w:val="00793B3D"/>
    <w:rsid w:val="007A6941"/>
    <w:rsid w:val="007B228E"/>
    <w:rsid w:val="007C76A9"/>
    <w:rsid w:val="00800816"/>
    <w:rsid w:val="00804E0D"/>
    <w:rsid w:val="008475F2"/>
    <w:rsid w:val="00870342"/>
    <w:rsid w:val="008A1C89"/>
    <w:rsid w:val="008C3D9F"/>
    <w:rsid w:val="008E595C"/>
    <w:rsid w:val="00901F44"/>
    <w:rsid w:val="00902C96"/>
    <w:rsid w:val="00912863"/>
    <w:rsid w:val="00917912"/>
    <w:rsid w:val="009203A5"/>
    <w:rsid w:val="0095730C"/>
    <w:rsid w:val="00965D08"/>
    <w:rsid w:val="009770AA"/>
    <w:rsid w:val="009802F7"/>
    <w:rsid w:val="009B0A25"/>
    <w:rsid w:val="00A00273"/>
    <w:rsid w:val="00A32451"/>
    <w:rsid w:val="00A872C5"/>
    <w:rsid w:val="00AA0005"/>
    <w:rsid w:val="00AA0C80"/>
    <w:rsid w:val="00AA5380"/>
    <w:rsid w:val="00AD1EBB"/>
    <w:rsid w:val="00AE1027"/>
    <w:rsid w:val="00AE4966"/>
    <w:rsid w:val="00AF2596"/>
    <w:rsid w:val="00B674C2"/>
    <w:rsid w:val="00B87544"/>
    <w:rsid w:val="00B94F41"/>
    <w:rsid w:val="00C302FD"/>
    <w:rsid w:val="00CA0C7B"/>
    <w:rsid w:val="00CC4589"/>
    <w:rsid w:val="00CF30DA"/>
    <w:rsid w:val="00D0398D"/>
    <w:rsid w:val="00D423DE"/>
    <w:rsid w:val="00DB02C7"/>
    <w:rsid w:val="00DF4038"/>
    <w:rsid w:val="00E063FD"/>
    <w:rsid w:val="00E178A3"/>
    <w:rsid w:val="00E65556"/>
    <w:rsid w:val="00E73067"/>
    <w:rsid w:val="00E76FE4"/>
    <w:rsid w:val="00E845ED"/>
    <w:rsid w:val="00EE008A"/>
    <w:rsid w:val="00EE09DB"/>
    <w:rsid w:val="00F010E3"/>
    <w:rsid w:val="00F85A46"/>
    <w:rsid w:val="00FC4959"/>
    <w:rsid w:val="00FC574E"/>
    <w:rsid w:val="00FD4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14:docId w14:val="4012C536"/>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 w:type="paragraph" w:styleId="ListParagraph">
    <w:name w:val="List Paragraph"/>
    <w:basedOn w:val="Normal"/>
    <w:uiPriority w:val="34"/>
    <w:qFormat/>
    <w:rsid w:val="00D423DE"/>
    <w:pPr>
      <w:ind w:left="720"/>
      <w:contextualSpacing/>
    </w:pPr>
  </w:style>
  <w:style w:type="table" w:customStyle="1" w:styleId="TableGrid1">
    <w:name w:val="Table Grid1"/>
    <w:basedOn w:val="TableNormal"/>
    <w:uiPriority w:val="59"/>
    <w:rsid w:val="00520497"/>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F25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678464989">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jpmorgan.com/global/disclosures/mifidii"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pmorgan.com/global/disclosures/mifidii"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jpmorgan.com/jpmpdf/1320747088850.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Props1.xml><?xml version="1.0" encoding="utf-8"?>
<ds:datastoreItem xmlns:ds="http://schemas.openxmlformats.org/officeDocument/2006/customXml" ds:itemID="{98331CCC-31BF-4867-A15D-12653058F120}">
  <ds:schemaRefs>
    <ds:schemaRef ds:uri="http://schemas.microsoft.com/sharepoint/v3/contenttype/forms"/>
  </ds:schemaRefs>
</ds:datastoreItem>
</file>

<file path=customXml/itemProps2.xml><?xml version="1.0" encoding="utf-8"?>
<ds:datastoreItem xmlns:ds="http://schemas.openxmlformats.org/officeDocument/2006/customXml" ds:itemID="{4C42E5F0-789D-40D0-A769-1F9B72EF00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BAFC86-684F-4289-8E37-8005BCDFC760}">
  <ds:schemaRefs>
    <ds:schemaRef ds:uri="http://purl.org/dc/dcmitype/"/>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7d1f7825-6765-4743-817d-89ed4ea58d40"/>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765</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5116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v0.0.1</dc:creator>
  <cp:lastModifiedBy>Alom, Zibrul</cp:lastModifiedBy>
  <cp:revision>3</cp:revision>
  <dcterms:created xsi:type="dcterms:W3CDTF">2019-07-19T08:12:00Z</dcterms:created>
  <dcterms:modified xsi:type="dcterms:W3CDTF">2019-07-19T13:00:00Z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